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E7" w:rsidRDefault="0017059E" w:rsidP="00B7500B">
      <w:pPr>
        <w:spacing w:beforeLines="50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2020年度国家科学技术进步奖提名公示信息</w:t>
      </w:r>
    </w:p>
    <w:tbl>
      <w:tblPr>
        <w:tblStyle w:val="a7"/>
        <w:tblW w:w="136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850"/>
        <w:gridCol w:w="769"/>
        <w:gridCol w:w="2156"/>
        <w:gridCol w:w="761"/>
        <w:gridCol w:w="1018"/>
        <w:gridCol w:w="842"/>
        <w:gridCol w:w="266"/>
        <w:gridCol w:w="1134"/>
        <w:gridCol w:w="765"/>
        <w:gridCol w:w="1361"/>
        <w:gridCol w:w="2126"/>
        <w:gridCol w:w="1137"/>
      </w:tblGrid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:rsidR="007321E7" w:rsidRPr="002B2B7D" w:rsidRDefault="0022477E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sz w:val="21"/>
                <w:szCs w:val="21"/>
              </w:rPr>
            </w:pPr>
            <w:r w:rsidRP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高性能对位芳纶（芳II和芳III）制备关键技术及其产业化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:rsidR="007321E7" w:rsidRDefault="0022477E" w:rsidP="008E16F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上海市</w:t>
            </w:r>
          </w:p>
        </w:tc>
        <w:tc>
          <w:tcPr>
            <w:tcW w:w="2165" w:type="dxa"/>
            <w:gridSpan w:val="3"/>
            <w:vAlign w:val="center"/>
          </w:tcPr>
          <w:p w:rsidR="007321E7" w:rsidRDefault="001705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 w:rsidR="007321E7" w:rsidRDefault="001F3D7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2B7D">
              <w:rPr>
                <w:rFonts w:asciiTheme="minorEastAsia" w:eastAsiaTheme="minorEastAsia" w:hAnsiTheme="minorEastAsia"/>
                <w:sz w:val="21"/>
                <w:szCs w:val="21"/>
              </w:rPr>
              <w:t>国家科学技术进步奖</w:t>
            </w:r>
            <w:r w:rsid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2B2B7D">
              <w:rPr>
                <w:rFonts w:asciiTheme="minorEastAsia" w:eastAsiaTheme="minorEastAsia" w:hAnsiTheme="minorEastAsia"/>
                <w:sz w:val="21"/>
                <w:szCs w:val="21"/>
              </w:rPr>
              <w:t>等奖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0"/>
          </w:tcPr>
          <w:p w:rsidR="007321E7" w:rsidRDefault="0022477E" w:rsidP="00CC6063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余木火、王凤德、冯艳丽、彭涛、</w:t>
            </w:r>
            <w:r w:rsidR="00CC6063" w:rsidRP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崔晓静</w:t>
            </w:r>
            <w:r w:rsidR="00CC6063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孔海娟、范志平、宋福如、李九胜、李兰英、张学永、孙潜、宋志强、滕翠青、韩克清</w:t>
            </w:r>
          </w:p>
        </w:tc>
      </w:tr>
      <w:tr w:rsidR="007321E7">
        <w:trPr>
          <w:trHeight w:val="476"/>
          <w:jc w:val="center"/>
        </w:trPr>
        <w:tc>
          <w:tcPr>
            <w:tcW w:w="2040" w:type="dxa"/>
            <w:gridSpan w:val="3"/>
            <w:vAlign w:val="center"/>
          </w:tcPr>
          <w:p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0"/>
          </w:tcPr>
          <w:p w:rsidR="007321E7" w:rsidRDefault="0022477E" w:rsidP="001F3D79">
            <w:pPr>
              <w:spacing w:line="400" w:lineRule="exact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东华大学、中蓝晨光化工研究设计院有限公司、中国航</w:t>
            </w:r>
            <w:r w:rsidR="007623DD">
              <w:rPr>
                <w:rFonts w:asciiTheme="minorEastAsia" w:eastAsiaTheme="minorEastAsia" w:hAnsiTheme="minorEastAsia" w:hint="eastAsia"/>
                <w:sz w:val="21"/>
                <w:szCs w:val="21"/>
              </w:rPr>
              <w:t>天</w:t>
            </w:r>
            <w:r w:rsidRPr="0022477E">
              <w:rPr>
                <w:rFonts w:asciiTheme="minorEastAsia" w:eastAsiaTheme="minorEastAsia" w:hAnsiTheme="minorEastAsia" w:hint="eastAsia"/>
                <w:sz w:val="21"/>
                <w:szCs w:val="21"/>
              </w:rPr>
              <w:t>科工集团第六研究院四十六所、蓝星(成都)新材料有限公司、河北硅谷化工有限公司、中芳特纤股份有限公司、上海工程技术大学</w:t>
            </w:r>
          </w:p>
        </w:tc>
      </w:tr>
      <w:tr w:rsidR="007321E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:rsidR="008951C5" w:rsidRPr="002B2B7D" w:rsidRDefault="0017059E" w:rsidP="002B2B7D">
            <w:pPr>
              <w:spacing w:line="40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7321E7" w:rsidTr="004D5A62">
        <w:trPr>
          <w:trHeight w:val="476"/>
          <w:jc w:val="center"/>
        </w:trPr>
        <w:tc>
          <w:tcPr>
            <w:tcW w:w="421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 w:rsidR="007321E7" w:rsidRDefault="0017059E" w:rsidP="0022477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知识产权类别</w:t>
            </w:r>
          </w:p>
        </w:tc>
        <w:tc>
          <w:tcPr>
            <w:tcW w:w="2925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761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18" w:type="dxa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7321E7" w:rsidRDefault="007321E7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</w:t>
            </w:r>
          </w:p>
          <w:p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 w:rsidR="007321E7" w:rsidRDefault="0017059E" w:rsidP="0022477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</w:tc>
        <w:tc>
          <w:tcPr>
            <w:tcW w:w="2126" w:type="dxa"/>
            <w:gridSpan w:val="2"/>
            <w:vAlign w:val="center"/>
          </w:tcPr>
          <w:p w:rsidR="007321E7" w:rsidRDefault="0017059E" w:rsidP="0022477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</w:tc>
        <w:tc>
          <w:tcPr>
            <w:tcW w:w="2126" w:type="dxa"/>
            <w:vAlign w:val="center"/>
          </w:tcPr>
          <w:p w:rsidR="007321E7" w:rsidRDefault="0017059E" w:rsidP="0022477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</w:tc>
        <w:tc>
          <w:tcPr>
            <w:tcW w:w="1137" w:type="dxa"/>
            <w:vAlign w:val="center"/>
          </w:tcPr>
          <w:p w:rsidR="007321E7" w:rsidRDefault="0017059E" w:rsidP="0022477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专利有效状态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B03A10">
              <w:rPr>
                <w:bCs/>
                <w:color w:val="000000"/>
                <w:sz w:val="18"/>
                <w:szCs w:val="18"/>
              </w:rPr>
              <w:t>低温溶液异相缩聚制备对苯二甲酰对苯二胺树脂的方法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color w:val="000000"/>
                <w:sz w:val="18"/>
                <w:szCs w:val="18"/>
              </w:rPr>
              <w:t>ZL201210004071.X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2012.1.6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1340790</w:t>
            </w:r>
            <w:r w:rsidR="00C61DF9">
              <w:rPr>
                <w:rFonts w:ascii="宋体"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余木火，孔海娟，滕翠青，马禹，张蕊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bCs/>
                <w:color w:val="000000"/>
                <w:sz w:val="18"/>
                <w:szCs w:val="18"/>
              </w:rPr>
              <w:t>聚对苯甲酰聚对苯二胺树脂聚合用组合式双螺杆挤出机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color w:val="000000"/>
                <w:sz w:val="18"/>
                <w:szCs w:val="18"/>
              </w:rPr>
              <w:t>ZL201210594319.2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2016.4.6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2016649</w:t>
            </w: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东华大学，河北硅谷化工有限公司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余木火，宋福如，孔海娟，叶盛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宋志强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一种高性能杂环芳纶及其制备和应用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ZL</w:t>
            </w: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201010108545.6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2012.7.25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1010839</w:t>
            </w:r>
            <w:r w:rsidR="00C61DF9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中蓝晨光化工设计研究院有限公司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王凤德、彭涛、邱锋、陈超峰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一种高强高模杂环芳纶的制备方法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ZL201010108522.5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2011.</w:t>
            </w:r>
            <w:r w:rsidRPr="00B03A10">
              <w:rPr>
                <w:color w:val="000000"/>
                <w:sz w:val="18"/>
                <w:szCs w:val="18"/>
              </w:rPr>
              <w:t>9.28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851116</w:t>
            </w:r>
            <w:r w:rsidR="00C61DF9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中蓝晨光</w:t>
            </w:r>
            <w:r w:rsidR="00A17ECB">
              <w:rPr>
                <w:rFonts w:ascii="宋体" w:hAnsi="宋体" w:hint="eastAsia"/>
                <w:color w:val="000000"/>
                <w:sz w:val="18"/>
                <w:szCs w:val="18"/>
              </w:rPr>
              <w:t>化工</w:t>
            </w: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研究</w:t>
            </w:r>
            <w:r w:rsidR="00A17ECB">
              <w:rPr>
                <w:rFonts w:ascii="宋体" w:hAnsi="宋体" w:hint="eastAsia"/>
                <w:color w:val="000000"/>
                <w:sz w:val="18"/>
                <w:szCs w:val="18"/>
              </w:rPr>
              <w:t>设计</w:t>
            </w: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院有限公司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王凤德、彭涛、陈超峰、邱锋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一种高粘度流体的连续快速脱泡装置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ZL201010108546.0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2011.12.28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888933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中蓝晨光化工设计研究院有限公司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王凤德、彭涛、邱锋、杨其武、彭开云、陈超峰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一种用于芳纶生产的纤维洗涤工艺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ZL200710051059.3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2010.1.20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592712</w:t>
            </w:r>
            <w:r w:rsidR="00C61DF9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中蓝晨光化工设计研究院有限公司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王凤德、李兰英、彭涛、崔晓静、邱峰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一种芳纶Ⅲ的表面处理方法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ZL201010108510.2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2011.12.07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876941</w:t>
            </w:r>
            <w:r w:rsidR="00C61DF9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中蓝晨光化工设计研究院有限公司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王凤德、彭涛、陈超峰、彭开云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一种高模量聚对苯二甲酰对苯二胺纤维及其制备方法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7623DD" w:rsidP="004D5A6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ZL</w:t>
            </w:r>
            <w:r w:rsidR="0022477E" w:rsidRPr="00B03A10">
              <w:rPr>
                <w:rFonts w:ascii="宋体" w:hAnsi="宋体"/>
                <w:color w:val="000000"/>
                <w:sz w:val="18"/>
                <w:szCs w:val="18"/>
              </w:rPr>
              <w:t>201110133796.4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2012.11.21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1085545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蓝星（成都）新材料有限公司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王凤德、王锡璐、彭涛、杨其武、马俊雍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一种中模量聚对苯二甲酰对苯二胺纤维及其制备方法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7623DD" w:rsidP="004D5A6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ZL</w:t>
            </w:r>
            <w:r w:rsidR="0022477E" w:rsidRPr="00B03A10">
              <w:rPr>
                <w:rFonts w:ascii="宋体" w:hAnsi="宋体"/>
                <w:color w:val="000000"/>
                <w:sz w:val="18"/>
                <w:szCs w:val="18"/>
              </w:rPr>
              <w:t>201110133797.9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2012.11.21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1085118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蓝星（成都）新材料有限公司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王凤德、王锡璐、彭涛、杨其武、马俊雍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2477E" w:rsidRPr="00B03A10" w:rsidRDefault="0022477E" w:rsidP="0022477E">
            <w:pPr>
              <w:tabs>
                <w:tab w:val="left" w:pos="504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03A10">
              <w:rPr>
                <w:rFonts w:ascii="宋体" w:hAnsi="宋体"/>
                <w:sz w:val="18"/>
                <w:szCs w:val="18"/>
              </w:rPr>
              <w:t>一种芳纶</w:t>
            </w:r>
            <w:r w:rsidRPr="00B03A10">
              <w:rPr>
                <w:rFonts w:ascii="宋体" w:hAnsi="宋体" w:hint="eastAsia"/>
                <w:sz w:val="18"/>
                <w:szCs w:val="18"/>
              </w:rPr>
              <w:t>1414</w:t>
            </w:r>
            <w:r w:rsidRPr="00B03A10">
              <w:rPr>
                <w:rFonts w:ascii="宋体" w:hAnsi="宋体" w:hint="eastAsia"/>
                <w:sz w:val="18"/>
                <w:szCs w:val="18"/>
              </w:rPr>
              <w:t>纤维聚合的混合器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ZL</w:t>
            </w: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201822186993.2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2018.12.25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9372872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蓝星（成都）新材料有限公司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崔晓静、孙潜、毛亚丽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2477E" w:rsidRPr="00EA3908" w:rsidTr="004D5A62">
        <w:trPr>
          <w:trHeight w:val="476"/>
          <w:jc w:val="center"/>
        </w:trPr>
        <w:tc>
          <w:tcPr>
            <w:tcW w:w="42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实用新型</w:t>
            </w:r>
          </w:p>
        </w:tc>
        <w:tc>
          <w:tcPr>
            <w:tcW w:w="2925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一种芳纶纤维配浆搅拌混合装置</w:t>
            </w:r>
          </w:p>
        </w:tc>
        <w:tc>
          <w:tcPr>
            <w:tcW w:w="761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018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ZL201820250908.1</w:t>
            </w:r>
          </w:p>
        </w:tc>
        <w:tc>
          <w:tcPr>
            <w:tcW w:w="1108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rFonts w:hint="eastAsia"/>
                <w:color w:val="000000"/>
                <w:sz w:val="18"/>
                <w:szCs w:val="18"/>
              </w:rPr>
              <w:t>2018.2.12</w:t>
            </w:r>
          </w:p>
        </w:tc>
        <w:tc>
          <w:tcPr>
            <w:tcW w:w="1134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B03A10">
              <w:rPr>
                <w:color w:val="000000"/>
                <w:sz w:val="18"/>
                <w:szCs w:val="18"/>
              </w:rPr>
              <w:t>第</w:t>
            </w:r>
            <w:r w:rsidRPr="00B03A10">
              <w:rPr>
                <w:rFonts w:hint="eastAsia"/>
                <w:color w:val="000000"/>
                <w:sz w:val="18"/>
                <w:szCs w:val="18"/>
              </w:rPr>
              <w:t>8124423</w:t>
            </w:r>
            <w:r w:rsidR="00C61DF9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6" w:type="dxa"/>
            <w:gridSpan w:val="2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/>
                <w:color w:val="000000"/>
                <w:sz w:val="18"/>
                <w:szCs w:val="18"/>
              </w:rPr>
              <w:t>中芳特纤股份有限公司</w:t>
            </w:r>
          </w:p>
        </w:tc>
        <w:tc>
          <w:tcPr>
            <w:tcW w:w="2126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张学永、范志平</w:t>
            </w:r>
          </w:p>
        </w:tc>
        <w:tc>
          <w:tcPr>
            <w:tcW w:w="1137" w:type="dxa"/>
          </w:tcPr>
          <w:p w:rsidR="0022477E" w:rsidRPr="00B03A10" w:rsidRDefault="0022477E" w:rsidP="0022477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B03A10">
              <w:rPr>
                <w:rFonts w:ascii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</w:tbl>
    <w:p w:rsidR="007321E7" w:rsidRPr="00EA3908" w:rsidRDefault="007321E7" w:rsidP="00EA3908">
      <w:pPr>
        <w:spacing w:line="20" w:lineRule="exact"/>
        <w:jc w:val="center"/>
        <w:rPr>
          <w:rFonts w:eastAsiaTheme="minorEastAsia" w:cs="Times New Roman"/>
          <w:sz w:val="18"/>
          <w:szCs w:val="18"/>
        </w:rPr>
      </w:pPr>
    </w:p>
    <w:sectPr w:rsidR="007321E7" w:rsidRPr="00EA3908" w:rsidSect="00EF2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FB" w:rsidRDefault="000605FB">
      <w:pPr>
        <w:spacing w:line="240" w:lineRule="auto"/>
      </w:pPr>
      <w:r>
        <w:separator/>
      </w:r>
    </w:p>
  </w:endnote>
  <w:endnote w:type="continuationSeparator" w:id="0">
    <w:p w:rsidR="000605FB" w:rsidRDefault="00060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FB" w:rsidRDefault="000605FB">
      <w:pPr>
        <w:spacing w:line="240" w:lineRule="auto"/>
      </w:pPr>
      <w:r>
        <w:separator/>
      </w:r>
    </w:p>
  </w:footnote>
  <w:footnote w:type="continuationSeparator" w:id="0">
    <w:p w:rsidR="000605FB" w:rsidRDefault="000605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E7" w:rsidRDefault="007321E7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191"/>
    <w:rsid w:val="000605FB"/>
    <w:rsid w:val="000A5BBD"/>
    <w:rsid w:val="000C7F6B"/>
    <w:rsid w:val="001140EF"/>
    <w:rsid w:val="00124973"/>
    <w:rsid w:val="001600E9"/>
    <w:rsid w:val="0017059E"/>
    <w:rsid w:val="00173E9B"/>
    <w:rsid w:val="001B472D"/>
    <w:rsid w:val="001C156A"/>
    <w:rsid w:val="001F3D79"/>
    <w:rsid w:val="002078F5"/>
    <w:rsid w:val="0022477E"/>
    <w:rsid w:val="00280E9D"/>
    <w:rsid w:val="00287332"/>
    <w:rsid w:val="002B2B7D"/>
    <w:rsid w:val="002C79B4"/>
    <w:rsid w:val="0030159D"/>
    <w:rsid w:val="003248A6"/>
    <w:rsid w:val="00396AB1"/>
    <w:rsid w:val="003A021D"/>
    <w:rsid w:val="003B6016"/>
    <w:rsid w:val="00421DF8"/>
    <w:rsid w:val="00454E65"/>
    <w:rsid w:val="00464C1A"/>
    <w:rsid w:val="004D1208"/>
    <w:rsid w:val="004D5A62"/>
    <w:rsid w:val="004D6101"/>
    <w:rsid w:val="00587D24"/>
    <w:rsid w:val="0063345A"/>
    <w:rsid w:val="00646ECD"/>
    <w:rsid w:val="006656F6"/>
    <w:rsid w:val="00701030"/>
    <w:rsid w:val="007321E7"/>
    <w:rsid w:val="00743456"/>
    <w:rsid w:val="007462CD"/>
    <w:rsid w:val="007623DD"/>
    <w:rsid w:val="007E27CB"/>
    <w:rsid w:val="00830C41"/>
    <w:rsid w:val="008951C5"/>
    <w:rsid w:val="008E16F6"/>
    <w:rsid w:val="00932BD8"/>
    <w:rsid w:val="00953187"/>
    <w:rsid w:val="00957E18"/>
    <w:rsid w:val="009D3FAC"/>
    <w:rsid w:val="009F08CF"/>
    <w:rsid w:val="00A045E5"/>
    <w:rsid w:val="00A17ECB"/>
    <w:rsid w:val="00A52E99"/>
    <w:rsid w:val="00A64BC1"/>
    <w:rsid w:val="00A721D4"/>
    <w:rsid w:val="00AB0DA4"/>
    <w:rsid w:val="00AD3556"/>
    <w:rsid w:val="00B7500B"/>
    <w:rsid w:val="00B84FA2"/>
    <w:rsid w:val="00BF39D0"/>
    <w:rsid w:val="00C543D1"/>
    <w:rsid w:val="00C61DF9"/>
    <w:rsid w:val="00C73532"/>
    <w:rsid w:val="00CA64F6"/>
    <w:rsid w:val="00CA661D"/>
    <w:rsid w:val="00CC1191"/>
    <w:rsid w:val="00CC1314"/>
    <w:rsid w:val="00CC6063"/>
    <w:rsid w:val="00D1337D"/>
    <w:rsid w:val="00D53EFC"/>
    <w:rsid w:val="00DB0EE0"/>
    <w:rsid w:val="00E02738"/>
    <w:rsid w:val="00E4327C"/>
    <w:rsid w:val="00E939F0"/>
    <w:rsid w:val="00EA3908"/>
    <w:rsid w:val="00EF131F"/>
    <w:rsid w:val="00EF283A"/>
    <w:rsid w:val="00F039FB"/>
    <w:rsid w:val="00F2553D"/>
    <w:rsid w:val="00F6412C"/>
    <w:rsid w:val="00FC3528"/>
    <w:rsid w:val="00FE0FFA"/>
    <w:rsid w:val="16C9354B"/>
    <w:rsid w:val="1D536E88"/>
    <w:rsid w:val="42582E81"/>
    <w:rsid w:val="49464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D1"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543D1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3D1"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C543D1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C543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543D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543D1"/>
    <w:rPr>
      <w:sz w:val="24"/>
    </w:rPr>
  </w:style>
  <w:style w:type="table" w:styleId="a7">
    <w:name w:val="Table Grid"/>
    <w:basedOn w:val="a1"/>
    <w:uiPriority w:val="59"/>
    <w:rsid w:val="00C54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C543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3D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43D1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543D1"/>
    <w:rPr>
      <w:rFonts w:asciiTheme="majorHAnsi" w:eastAsia="黑体" w:hAnsiTheme="majorHAnsi" w:cstheme="majorBidi"/>
      <w:bCs/>
      <w:szCs w:val="32"/>
    </w:rPr>
  </w:style>
  <w:style w:type="character" w:customStyle="1" w:styleId="Char">
    <w:name w:val="纯文本 Char"/>
    <w:basedOn w:val="a0"/>
    <w:link w:val="a3"/>
    <w:rsid w:val="00C543D1"/>
    <w:rPr>
      <w:rFonts w:ascii="仿宋_GB2312" w:eastAsia="仿宋_GB2312" w:cs="仿宋_GB2312" w:hint="eastAsia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EA3908"/>
    <w:pPr>
      <w:widowControl w:val="0"/>
      <w:spacing w:line="240" w:lineRule="auto"/>
    </w:pPr>
    <w:rPr>
      <w:rFonts w:asciiTheme="minorHAnsi" w:eastAsiaTheme="minorEastAsia" w:hAnsiTheme="minorHAns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张莹</cp:lastModifiedBy>
  <cp:revision>2</cp:revision>
  <cp:lastPrinted>2019-12-03T02:10:00Z</cp:lastPrinted>
  <dcterms:created xsi:type="dcterms:W3CDTF">2019-12-25T02:14:00Z</dcterms:created>
  <dcterms:modified xsi:type="dcterms:W3CDTF">2019-12-25T02:14:00Z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